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宋体" w:cs="Times New Roman"/>
          <w:b/>
          <w:sz w:val="32"/>
          <w:szCs w:val="32"/>
        </w:rPr>
      </w:pPr>
      <w:bookmarkStart w:id="0" w:name="_GoBack"/>
      <w:bookmarkEnd w:id="0"/>
      <w:r>
        <w:rPr>
          <w:rFonts w:hint="eastAsia" w:ascii="Times New Roman" w:hAnsi="Times New Roman" w:eastAsia="宋体" w:cs="Times New Roman"/>
          <w:b/>
          <w:sz w:val="32"/>
          <w:szCs w:val="32"/>
        </w:rPr>
        <w:t>2</w:t>
      </w:r>
      <w:r>
        <w:rPr>
          <w:rFonts w:ascii="Times New Roman" w:hAnsi="Times New Roman" w:eastAsia="宋体" w:cs="Times New Roman"/>
          <w:b/>
          <w:sz w:val="32"/>
          <w:szCs w:val="32"/>
        </w:rPr>
        <w:t>021</w:t>
      </w:r>
      <w:r>
        <w:rPr>
          <w:rFonts w:hint="eastAsia" w:ascii="Times New Roman" w:hAnsi="Times New Roman" w:eastAsia="宋体" w:cs="Times New Roman"/>
          <w:b/>
          <w:sz w:val="32"/>
          <w:szCs w:val="32"/>
        </w:rPr>
        <w:t>年度山东大学临床研究项目（急危重症重点专项）拟资助项目清单</w:t>
      </w:r>
    </w:p>
    <w:tbl>
      <w:tblPr>
        <w:tblStyle w:val="6"/>
        <w:tblW w:w="158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126"/>
        <w:gridCol w:w="8655"/>
        <w:gridCol w:w="1245"/>
        <w:gridCol w:w="1671"/>
        <w:gridCol w:w="1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指南方向</w:t>
            </w:r>
          </w:p>
        </w:tc>
        <w:tc>
          <w:tcPr>
            <w:tcW w:w="1126" w:type="dxa"/>
            <w:vAlign w:val="center"/>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序号</w:t>
            </w:r>
          </w:p>
        </w:tc>
        <w:tc>
          <w:tcPr>
            <w:tcW w:w="8655" w:type="dxa"/>
            <w:vAlign w:val="center"/>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项目</w:t>
            </w:r>
            <w:r>
              <w:rPr>
                <w:rFonts w:ascii="仿宋" w:hAnsi="仿宋" w:eastAsia="仿宋" w:cs="Times New Roman"/>
                <w:b/>
                <w:sz w:val="28"/>
                <w:szCs w:val="28"/>
              </w:rPr>
              <w:t>名称</w:t>
            </w:r>
          </w:p>
        </w:tc>
        <w:tc>
          <w:tcPr>
            <w:tcW w:w="1245" w:type="dxa"/>
            <w:vAlign w:val="center"/>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申请人</w:t>
            </w:r>
          </w:p>
        </w:tc>
        <w:tc>
          <w:tcPr>
            <w:tcW w:w="1671" w:type="dxa"/>
            <w:vAlign w:val="center"/>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依托</w:t>
            </w:r>
            <w:r>
              <w:rPr>
                <w:rFonts w:ascii="仿宋" w:hAnsi="仿宋" w:eastAsia="仿宋" w:cs="Times New Roman"/>
                <w:b/>
                <w:sz w:val="28"/>
                <w:szCs w:val="28"/>
              </w:rPr>
              <w:t>单位</w:t>
            </w:r>
          </w:p>
        </w:tc>
        <w:tc>
          <w:tcPr>
            <w:tcW w:w="1478" w:type="dxa"/>
            <w:vAlign w:val="center"/>
          </w:tcPr>
          <w:p>
            <w:pPr>
              <w:spacing w:line="400" w:lineRule="exact"/>
              <w:jc w:val="center"/>
              <w:rPr>
                <w:rFonts w:ascii="仿宋" w:hAnsi="仿宋" w:eastAsia="仿宋" w:cs="Times New Roman"/>
                <w:b/>
                <w:sz w:val="28"/>
                <w:szCs w:val="28"/>
              </w:rPr>
            </w:pPr>
            <w:r>
              <w:rPr>
                <w:rFonts w:hint="eastAsia" w:ascii="仿宋" w:hAnsi="仿宋" w:eastAsia="仿宋" w:cs="Times New Roman"/>
                <w:b/>
                <w:sz w:val="28"/>
                <w:szCs w:val="28"/>
              </w:rPr>
              <w:t>资助层次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急危重心脑血管疾病救治</w:t>
            </w: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心脏骤停高危人群早期识别和预后预测模型的建立及推广应用</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潘畅</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中国人群心脏骤停调查（</w:t>
            </w:r>
            <w:r>
              <w:rPr>
                <w:rFonts w:ascii="仿宋" w:hAnsi="仿宋" w:eastAsia="仿宋"/>
                <w:color w:val="000000"/>
                <w:sz w:val="28"/>
                <w:szCs w:val="28"/>
              </w:rPr>
              <w:t>BASIC）项目二期建设及示范应用</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郑佳琪</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中西医结合治疗急性心肌梗死后心肌重构临床研究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张梅</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4</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益气养血和通络方剂调控肠道菌群在改善急性冠脉综合征患者左心重构和心功能中的有效性和安全性：一项随机、双盲、安慰剂对照多中心临床试验</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卜培莉</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5</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基于新型生物标志物快速识别MINOCA及预后预测的临床研究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王甲莉</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6</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急性脑出血的微创手术、综合救治技术及预后干预</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黄齐兵</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7</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急性缺血性卒中再灌注治疗关键技术及急救流程改进研究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吴伟</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8</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无创脑水肿床旁监测技术在急危重症中的临床应用研究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姜笃银</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第二医院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9</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急性后循环脑卒中桡动脉入路介入干预的临床研究及通路体系的研发</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王东海</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急性脏器损伤与修复</w:t>
            </w: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0</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基于临床队列的慢性阻塞性肺疾病呼吸衰竭诊治新技术的研究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曲仪庆</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1</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重症肺炎精准诊疗技术研究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王伟</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第二医院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2</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重症炎症性肠病人工智能辅助精准救治及管理策略研究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杨晓云</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3</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重症急性胰腺炎并发胰腺坏死精准治疗体系的建立研究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钟宁</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4</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内镜治疗联合部分脾动脉栓塞术对肝硬化食管胃静脉曲张破裂出血的防治研究及肝硬化门静脉血栓发生风险预测</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高艳景</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5</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基于深度学习的肝衰竭及其相关急危重症分子预测和多模态风险预测模型的临床研究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范玉琛</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6</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急性肾损伤早期诊断标志物筛选及其预警和预测模型的临床应用</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杨向东</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7</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急危重症血液病出凝血异常数据库研发及出血风险评估系统构建</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彭军</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8</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重症免疫性血小板减少症患者ICH风险预测及防治策略</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侯明</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r>
              <w:rPr>
                <w:rFonts w:ascii="仿宋" w:hAnsi="仿宋" w:eastAsia="仿宋"/>
                <w:color w:val="000000"/>
                <w:sz w:val="28"/>
                <w:szCs w:val="28"/>
              </w:rPr>
              <w:t>9</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重症风湿性疾病脏器损伤与修复的临床队列研究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舒强</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0</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APACHEⅡ评分和PSS评分联合分析在评估急性中毒患者预后中的价值研究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菅向东</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1</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全国多中心先天性心脏病合并妊娠患者数据标本库建设及基于人工智能的患者全孕期风险评估干预模型的建立与验证</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宋坤</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2</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儿童严重感染所致脓毒症预警指标、早期诊断和干预评估</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刘心洁</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创伤感染与免疫</w:t>
            </w: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3</w:t>
            </w:r>
          </w:p>
        </w:tc>
        <w:tc>
          <w:tcPr>
            <w:tcW w:w="8655" w:type="dxa"/>
            <w:shd w:val="clear" w:color="auto" w:fill="auto"/>
            <w:vAlign w:val="center"/>
          </w:tcPr>
          <w:p>
            <w:pPr>
              <w:widowControl/>
              <w:spacing w:line="400" w:lineRule="exact"/>
              <w:jc w:val="left"/>
              <w:rPr>
                <w:rFonts w:ascii="仿宋" w:hAnsi="仿宋" w:eastAsia="仿宋"/>
                <w:color w:val="000000"/>
                <w:sz w:val="28"/>
                <w:szCs w:val="28"/>
              </w:rPr>
            </w:pPr>
            <w:r>
              <w:rPr>
                <w:rFonts w:hint="eastAsia" w:ascii="仿宋" w:hAnsi="仿宋" w:eastAsia="仿宋"/>
                <w:color w:val="000000"/>
                <w:sz w:val="28"/>
                <w:szCs w:val="28"/>
              </w:rPr>
              <w:t>脊髓损伤后排尿功能障碍预测模型的建立及干预</w:t>
            </w:r>
          </w:p>
        </w:tc>
        <w:tc>
          <w:tcPr>
            <w:tcW w:w="1245" w:type="dxa"/>
            <w:shd w:val="clear" w:color="auto" w:fill="auto"/>
            <w:vAlign w:val="center"/>
          </w:tcPr>
          <w:p>
            <w:pPr>
              <w:widowControl/>
              <w:spacing w:line="400" w:lineRule="exact"/>
              <w:jc w:val="center"/>
              <w:rPr>
                <w:rFonts w:ascii="仿宋" w:hAnsi="仿宋" w:eastAsia="仿宋"/>
                <w:color w:val="000000"/>
                <w:sz w:val="28"/>
                <w:szCs w:val="28"/>
              </w:rPr>
            </w:pPr>
            <w:r>
              <w:rPr>
                <w:rFonts w:hint="eastAsia" w:ascii="仿宋" w:hAnsi="仿宋" w:eastAsia="仿宋"/>
                <w:color w:val="000000"/>
                <w:sz w:val="28"/>
                <w:szCs w:val="28"/>
              </w:rPr>
              <w:t>史本康</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4</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急性脊髓损伤临床辅助决策系统的创建及治疗策略研究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周恒星</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5</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医源性因素对严重创伤合并创伤性凝血病的疾病进展及预后影响的双向性队列研究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张朝阳</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6</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宿主转录水平急性感染诊断标志物临床研究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王刚</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7</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严重创伤后多重耐药微生物感染的临床研究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许庆家</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8</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脓毒症导致多器官功能障碍早期识别和动态风险预警体系研究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庞佼佼</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restart"/>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创新药物及智能急救设备研发</w:t>
            </w: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r>
              <w:rPr>
                <w:rFonts w:ascii="仿宋" w:hAnsi="仿宋" w:eastAsia="仿宋"/>
                <w:color w:val="000000"/>
                <w:sz w:val="28"/>
                <w:szCs w:val="28"/>
              </w:rPr>
              <w:t>9</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靶向糖皮质激素膜受体GPR97治疗COVID-19的研究及疗效评估</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孙金鹏</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基础医学院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0</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第二代PAR1抑制剂1.1类抗血小板新药舒心帕沙的临床前和一期临床研究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娄红祥</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药学院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1</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囊泡蛋白VPS18在肺重症联合免疫治疗中的临床意义和新型靶向药物的发现</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苑辉卿</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第二医院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2</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ECMO心肺导流区流场优化及循环管路抗凝血涂层材料与技术的研发</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李瑞建</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Merge w:val="continue"/>
            <w:vAlign w:val="center"/>
          </w:tcPr>
          <w:p>
            <w:pPr>
              <w:spacing w:line="400" w:lineRule="exact"/>
              <w:jc w:val="center"/>
              <w:rPr>
                <w:rFonts w:ascii="仿宋" w:hAnsi="仿宋" w:eastAsia="仿宋"/>
                <w:color w:val="000000"/>
                <w:sz w:val="28"/>
                <w:szCs w:val="28"/>
              </w:rPr>
            </w:pP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3</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高质量智能心肺复苏技术装备研发</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李可</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控制科学与工程学院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9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临床研究共性技术平台的建设</w:t>
            </w:r>
          </w:p>
        </w:tc>
        <w:tc>
          <w:tcPr>
            <w:tcW w:w="1126"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3</w:t>
            </w:r>
            <w:r>
              <w:rPr>
                <w:rFonts w:ascii="仿宋" w:hAnsi="仿宋" w:eastAsia="仿宋"/>
                <w:color w:val="000000"/>
                <w:sz w:val="28"/>
                <w:szCs w:val="28"/>
              </w:rPr>
              <w:t>4</w:t>
            </w:r>
          </w:p>
        </w:tc>
        <w:tc>
          <w:tcPr>
            <w:tcW w:w="8655" w:type="dxa"/>
            <w:shd w:val="clear" w:color="auto" w:fill="auto"/>
            <w:vAlign w:val="center"/>
          </w:tcPr>
          <w:p>
            <w:pPr>
              <w:spacing w:line="400" w:lineRule="exact"/>
              <w:jc w:val="left"/>
              <w:rPr>
                <w:rFonts w:ascii="仿宋" w:hAnsi="仿宋" w:eastAsia="仿宋"/>
                <w:color w:val="000000"/>
                <w:sz w:val="28"/>
                <w:szCs w:val="28"/>
              </w:rPr>
            </w:pPr>
            <w:r>
              <w:rPr>
                <w:rFonts w:hint="eastAsia" w:ascii="仿宋" w:hAnsi="仿宋" w:eastAsia="仿宋"/>
                <w:color w:val="000000"/>
                <w:sz w:val="28"/>
                <w:szCs w:val="28"/>
              </w:rPr>
              <w:t>临床研究共性技术平台的建设及示范应用研究</w:t>
            </w:r>
          </w:p>
        </w:tc>
        <w:tc>
          <w:tcPr>
            <w:tcW w:w="1245"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吕明</w:t>
            </w:r>
          </w:p>
        </w:tc>
        <w:tc>
          <w:tcPr>
            <w:tcW w:w="1671" w:type="dxa"/>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齐鲁医院</w:t>
            </w:r>
          </w:p>
        </w:tc>
        <w:tc>
          <w:tcPr>
            <w:tcW w:w="1478" w:type="dxa"/>
            <w:shd w:val="clear" w:color="auto" w:fill="auto"/>
            <w:vAlign w:val="center"/>
          </w:tcPr>
          <w:p>
            <w:pPr>
              <w:spacing w:line="400" w:lineRule="exact"/>
              <w:jc w:val="center"/>
              <w:rPr>
                <w:rFonts w:ascii="仿宋" w:hAnsi="仿宋" w:eastAsia="仿宋"/>
                <w:color w:val="000000"/>
                <w:sz w:val="28"/>
                <w:szCs w:val="28"/>
              </w:rPr>
            </w:pPr>
            <w:r>
              <w:rPr>
                <w:rFonts w:hint="eastAsia" w:ascii="仿宋" w:hAnsi="仿宋" w:eastAsia="仿宋"/>
                <w:color w:val="000000"/>
                <w:sz w:val="28"/>
                <w:szCs w:val="28"/>
              </w:rPr>
              <w:t>1</w:t>
            </w:r>
          </w:p>
        </w:tc>
      </w:tr>
    </w:tbl>
    <w:p>
      <w:pPr>
        <w:rPr>
          <w:rFonts w:ascii="Times New Roman" w:hAnsi="Times New Roman" w:eastAsia="宋体" w:cs="Times New Roman"/>
          <w:b/>
          <w:sz w:val="32"/>
          <w:szCs w:val="32"/>
        </w:rPr>
      </w:pPr>
    </w:p>
    <w:sectPr>
      <w:footerReference r:id="rId3" w:type="default"/>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7997067"/>
      <w:docPartObj>
        <w:docPartGallery w:val="AutoText"/>
      </w:docPartObj>
    </w:sdtPr>
    <w:sdtContent>
      <w:p>
        <w:pPr>
          <w:pStyle w:val="3"/>
          <w:jc w:val="center"/>
        </w:pPr>
        <w:r>
          <w:fldChar w:fldCharType="begin"/>
        </w:r>
        <w:r>
          <w:instrText xml:space="preserve">PAGE   \* MERGEFORMAT</w:instrText>
        </w:r>
        <w:r>
          <w:fldChar w:fldCharType="separate"/>
        </w:r>
        <w:r>
          <w:rPr>
            <w:lang w:val="zh-CN"/>
          </w:rPr>
          <w:t>7</w:t>
        </w:r>
        <w:r>
          <w:fldChar w:fldCharType="end"/>
        </w:r>
      </w:p>
    </w:sdtContent>
  </w:sdt>
  <w:p>
    <w:pPr>
      <w:pStyle w:val="3"/>
    </w:pPr>
  </w:p>
</w:ft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